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2F5657">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DB4852">
        <w:rPr>
          <w:rFonts w:cs="Arial"/>
          <w:b/>
          <w:sz w:val="20"/>
          <w:u w:val="single"/>
        </w:rPr>
        <w:t>35/2021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DB4852">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DF60FC">
        <w:rPr>
          <w:rFonts w:ascii="Arial" w:hAnsi="Arial" w:cs="Arial"/>
          <w:b/>
          <w:u w:val="single"/>
        </w:rPr>
        <w:t>18</w:t>
      </w:r>
      <w:r w:rsidRPr="00D62423">
        <w:rPr>
          <w:rFonts w:ascii="Arial" w:hAnsi="Arial" w:cs="Arial"/>
          <w:b/>
          <w:u w:val="single"/>
        </w:rPr>
        <w:t>/</w:t>
      </w:r>
      <w:r w:rsidR="008541D4">
        <w:rPr>
          <w:rFonts w:ascii="Arial" w:hAnsi="Arial" w:cs="Arial"/>
          <w:b/>
          <w:u w:val="single"/>
        </w:rPr>
        <w:t>11</w:t>
      </w:r>
      <w:r w:rsidRPr="00D62423">
        <w:rPr>
          <w:rFonts w:ascii="Arial" w:hAnsi="Arial" w:cs="Arial"/>
          <w:b/>
          <w:u w:val="single"/>
        </w:rPr>
        <w:t>/202</w:t>
      </w:r>
      <w:r w:rsidR="00047C0D">
        <w:rPr>
          <w:rFonts w:ascii="Arial" w:hAnsi="Arial" w:cs="Arial"/>
          <w:b/>
          <w:u w:val="single"/>
        </w:rPr>
        <w:t>1</w:t>
      </w:r>
      <w:r w:rsidR="0087238C" w:rsidRPr="00D62423">
        <w:rPr>
          <w:rFonts w:ascii="Arial" w:hAnsi="Arial" w:cs="Arial"/>
          <w:b/>
          <w:u w:val="single"/>
        </w:rPr>
        <w:t xml:space="preserve"> às </w:t>
      </w:r>
      <w:r w:rsidR="007A296C">
        <w:rPr>
          <w:rFonts w:ascii="Arial" w:hAnsi="Arial" w:cs="Arial"/>
          <w:b/>
          <w:u w:val="single"/>
        </w:rPr>
        <w:t>1</w:t>
      </w:r>
      <w:r w:rsidR="00DB1C60">
        <w:rPr>
          <w:rFonts w:ascii="Arial" w:hAnsi="Arial" w:cs="Arial"/>
          <w:b/>
          <w:u w:val="single"/>
        </w:rPr>
        <w:t>9</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DF60FC">
        <w:rPr>
          <w:rFonts w:ascii="Arial" w:hAnsi="Arial" w:cs="Arial"/>
          <w:b/>
        </w:rPr>
        <w:t>19</w:t>
      </w:r>
      <w:r w:rsidRPr="007306BE">
        <w:rPr>
          <w:rFonts w:ascii="Arial" w:hAnsi="Arial" w:cs="Arial"/>
          <w:b/>
        </w:rPr>
        <w:t>/</w:t>
      </w:r>
      <w:r w:rsidR="008541D4">
        <w:rPr>
          <w:rFonts w:ascii="Arial" w:hAnsi="Arial" w:cs="Arial"/>
          <w:b/>
        </w:rPr>
        <w:t>11</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F60FC">
        <w:rPr>
          <w:rFonts w:ascii="Arial" w:hAnsi="Arial" w:cs="Arial"/>
          <w:b/>
        </w:rPr>
        <w:t>19</w:t>
      </w:r>
      <w:r w:rsidR="00047C0D">
        <w:rPr>
          <w:rFonts w:ascii="Arial" w:hAnsi="Arial" w:cs="Arial"/>
          <w:b/>
        </w:rPr>
        <w:t>/</w:t>
      </w:r>
      <w:r w:rsidR="008541D4">
        <w:rPr>
          <w:rFonts w:ascii="Arial" w:hAnsi="Arial" w:cs="Arial"/>
          <w:b/>
        </w:rPr>
        <w:t>11</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DB4852">
        <w:rPr>
          <w:rFonts w:ascii="Arial" w:hAnsi="Arial" w:cs="Arial"/>
          <w:b/>
        </w:rPr>
        <w:t>1.311.600,00 (Hum milhão, trezentos e onze mil, seiscentos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DB4852">
        <w:rPr>
          <w:rFonts w:ascii="Arial" w:hAnsi="Arial" w:cs="Arial"/>
          <w:b/>
        </w:rPr>
        <w:t>REGISTRO DE PREÇOS PARA FORNECIMENTO DE OXIGÊNIO MEDICINAL PARA A SECRETARIA MUNICIPAL DE CORDEIRÓPOLIS, UPAM E DEMAIS UNIDADES RELACIONADAS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DB4852">
        <w:rPr>
          <w:rFonts w:ascii="Arial" w:hAnsi="Arial" w:cs="Arial"/>
          <w:b/>
        </w:rPr>
        <w:t>1.311.600,00 (Hum milhão, trezentos e onze mil, seiscentos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Default="00B8525E" w:rsidP="007306BE">
      <w:pPr>
        <w:keepNext/>
        <w:suppressLineNumbers/>
        <w:ind w:right="-1"/>
        <w:jc w:val="both"/>
        <w:rPr>
          <w:rFonts w:ascii="Arial" w:hAnsi="Arial" w:cs="Arial"/>
        </w:rPr>
      </w:pPr>
    </w:p>
    <w:p w:rsidR="00DB4852" w:rsidRPr="007306BE" w:rsidRDefault="00DB4852" w:rsidP="007306BE">
      <w:pPr>
        <w:keepNext/>
        <w:suppressLineNumbers/>
        <w:ind w:right="-1"/>
        <w:jc w:val="both"/>
        <w:rPr>
          <w:rFonts w:ascii="Arial" w:hAnsi="Arial" w:cs="Arial"/>
        </w:rPr>
      </w:pPr>
    </w:p>
    <w:p w:rsidR="00DB4852" w:rsidRDefault="00DB4852" w:rsidP="00DB4852">
      <w:pPr>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
        <w:gridCol w:w="839"/>
        <w:gridCol w:w="1106"/>
        <w:gridCol w:w="1106"/>
        <w:gridCol w:w="608"/>
        <w:gridCol w:w="652"/>
        <w:gridCol w:w="1603"/>
      </w:tblGrid>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16"/>
                <w:szCs w:val="16"/>
              </w:rPr>
            </w:pPr>
            <w:r w:rsidRPr="00DB4852">
              <w:rPr>
                <w:rFonts w:ascii="Arial" w:hAnsi="Arial" w:cs="Arial"/>
                <w:b/>
                <w:color w:val="FFFFFF" w:themeColor="background1"/>
                <w:sz w:val="16"/>
                <w:szCs w:val="16"/>
              </w:rPr>
              <w:t>Cód. de Aplicação</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14</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3010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133</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3010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607</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608</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609</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742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08</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3010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754</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92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833</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3010002</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847</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3010001</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855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8000001</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138</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376</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613</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614</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666</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8000001</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755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95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839</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16"/>
                <w:szCs w:val="16"/>
              </w:rPr>
            </w:pPr>
            <w:r w:rsidRPr="00DB4852">
              <w:rPr>
                <w:rFonts w:ascii="Arial" w:hAnsi="Arial" w:cs="Arial"/>
                <w:sz w:val="16"/>
                <w:szCs w:val="16"/>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16"/>
                <w:szCs w:val="16"/>
              </w:rPr>
            </w:pPr>
            <w:r w:rsidRPr="00DB4852">
              <w:rPr>
                <w:rFonts w:ascii="Arial" w:hAnsi="Arial" w:cs="Arial"/>
                <w:sz w:val="16"/>
                <w:szCs w:val="16"/>
              </w:rPr>
              <w:t>3020001</w:t>
            </w:r>
          </w:p>
        </w:tc>
      </w:tr>
    </w:tbl>
    <w:p w:rsidR="00DB4852" w:rsidRDefault="00DB4852" w:rsidP="00DB4852">
      <w:pPr>
        <w:jc w:val="both"/>
        <w:rPr>
          <w:rFonts w:ascii="Arial" w:hAnsi="Arial" w:cs="Arial"/>
          <w:b/>
          <w:sz w:val="24"/>
          <w:szCs w:val="24"/>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w:t>
      </w:r>
      <w:r w:rsidR="00CA684C" w:rsidRPr="007306BE">
        <w:rPr>
          <w:rFonts w:ascii="Arial" w:hAnsi="Arial" w:cs="Arial"/>
        </w:rPr>
        <w:lastRenderedPageBreak/>
        <w:t xml:space="preserve">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.4.1.1. Na hipótese da proponente estar em recuperação judicial, possibilita-se a apresentação de certidão positiva, juntamente com o plano de recuperação homologado pelo juízo competente e em </w:t>
      </w:r>
      <w:r w:rsidR="00270FCB" w:rsidRPr="007306BE">
        <w:rPr>
          <w:rFonts w:ascii="Arial" w:hAnsi="Arial" w:cs="Arial"/>
        </w:rPr>
        <w:lastRenderedPageBreak/>
        <w:t>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lastRenderedPageBreak/>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 xml:space="preserve">O não oferecimento de lances no prazo específico destinado a cada licitante produz a preclusão do direito de apresentá-los. Os lances apresentados em momento inadequado, antes do </w:t>
      </w:r>
      <w:r w:rsidR="00E1154E" w:rsidRPr="007306BE">
        <w:rPr>
          <w:rFonts w:ascii="Arial" w:hAnsi="Arial" w:cs="Arial"/>
        </w:rPr>
        <w:lastRenderedPageBreak/>
        <w:t>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DB4852">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DB4852">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lastRenderedPageBreak/>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A25012" w:rsidRPr="00A25012">
        <w:rPr>
          <w:rFonts w:ascii="Arial" w:hAnsi="Arial" w:cs="Arial"/>
          <w:b/>
        </w:rPr>
        <w:t>1</w:t>
      </w:r>
      <w:r w:rsidRPr="001B3AE7">
        <w:rPr>
          <w:rFonts w:ascii="Arial" w:hAnsi="Arial" w:cs="Arial"/>
          <w:b/>
        </w:rPr>
        <w:t>0</w:t>
      </w:r>
      <w:r w:rsidRPr="001B3AE7">
        <w:rPr>
          <w:rFonts w:ascii="Arial" w:hAnsi="Arial" w:cs="Arial"/>
          <w:b/>
          <w:bCs/>
        </w:rPr>
        <w:t xml:space="preserve"> (</w:t>
      </w:r>
      <w:r w:rsidR="00A25012">
        <w:rPr>
          <w:rFonts w:ascii="Arial" w:hAnsi="Arial" w:cs="Arial"/>
          <w:b/>
          <w:bCs/>
        </w:rPr>
        <w:t>dez</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w:t>
      </w:r>
      <w:r w:rsidR="00DB1C60">
        <w:rPr>
          <w:rFonts w:ascii="Arial" w:eastAsia="LiberationSans" w:hAnsi="Arial" w:cs="Arial"/>
          <w:b/>
        </w:rPr>
        <w:t>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DB1C60">
        <w:rPr>
          <w:rFonts w:ascii="Arial" w:hAnsi="Arial" w:cs="Arial"/>
          <w:b/>
        </w:rPr>
        <w:t>erviços Públicos</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lastRenderedPageBreak/>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DB4852">
        <w:rPr>
          <w:rFonts w:ascii="Arial" w:hAnsi="Arial" w:cs="Arial"/>
          <w:iCs/>
        </w:rPr>
        <w:t>22 de Setembro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DB4852" w:rsidRPr="00DB4852" w:rsidRDefault="00DB4852" w:rsidP="00DB4852">
      <w:pPr>
        <w:jc w:val="center"/>
        <w:rPr>
          <w:rFonts w:ascii="Arial" w:hAnsi="Arial" w:cs="Arial"/>
          <w:b/>
        </w:rPr>
      </w:pPr>
      <w:bookmarkStart w:id="0" w:name="_GoBack"/>
      <w:bookmarkEnd w:id="0"/>
      <w:r w:rsidRPr="00DB4852">
        <w:rPr>
          <w:rFonts w:ascii="Arial" w:hAnsi="Arial" w:cs="Arial"/>
          <w:b/>
        </w:rPr>
        <w:t>MEMORIAL DESCRITIVO</w:t>
      </w:r>
    </w:p>
    <w:p w:rsidR="00DB4852" w:rsidRPr="00DB4852" w:rsidRDefault="00DB4852" w:rsidP="00DB4852">
      <w:pPr>
        <w:jc w:val="both"/>
        <w:rPr>
          <w:rFonts w:ascii="Arial" w:hAnsi="Arial" w:cs="Arial"/>
          <w:b/>
        </w:rPr>
      </w:pPr>
      <w:r w:rsidRPr="00DB4852">
        <w:rPr>
          <w:rFonts w:ascii="Arial" w:hAnsi="Arial" w:cs="Arial"/>
          <w:b/>
        </w:rPr>
        <w:t>I. OBJETO</w:t>
      </w:r>
    </w:p>
    <w:p w:rsidR="00DB4852" w:rsidRPr="00DB4852" w:rsidRDefault="00DB4852" w:rsidP="00DB4852">
      <w:pPr>
        <w:jc w:val="both"/>
        <w:rPr>
          <w:rFonts w:ascii="Arial" w:hAnsi="Arial" w:cs="Arial"/>
        </w:rPr>
      </w:pPr>
      <w:r w:rsidRPr="00DB4852">
        <w:rPr>
          <w:rFonts w:ascii="Arial" w:hAnsi="Arial" w:cs="Arial"/>
        </w:rPr>
        <w:tab/>
        <w:t>Registro de preços para fornecimento de oxigênio medicinal para a Secretaria Municipal de Cordeirópolis, UPAM e demais unidades relacionadas.</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II. PROPOSTA</w:t>
      </w:r>
    </w:p>
    <w:tbl>
      <w:tblPr>
        <w:tblStyle w:val="TableNormal"/>
        <w:tblW w:w="57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92"/>
        <w:gridCol w:w="3522"/>
        <w:gridCol w:w="851"/>
        <w:gridCol w:w="709"/>
      </w:tblGrid>
      <w:tr w:rsidR="00DB4852" w:rsidRPr="00DB4852" w:rsidTr="00DB4852">
        <w:trPr>
          <w:trHeight w:hRule="exact" w:val="433"/>
          <w:jc w:val="center"/>
        </w:trPr>
        <w:tc>
          <w:tcPr>
            <w:tcW w:w="692" w:type="dxa"/>
            <w:shd w:val="clear" w:color="auto" w:fill="000000" w:themeFill="text1"/>
            <w:vAlign w:val="center"/>
          </w:tcPr>
          <w:p w:rsidR="00DB4852" w:rsidRPr="00DB4852" w:rsidRDefault="00DB4852" w:rsidP="00DB4852">
            <w:pPr>
              <w:pStyle w:val="SemEspaamento"/>
              <w:jc w:val="center"/>
              <w:rPr>
                <w:rFonts w:ascii="Arial" w:hAnsi="Arial" w:cs="Arial"/>
                <w:b/>
                <w:sz w:val="20"/>
                <w:szCs w:val="20"/>
                <w:lang w:val="pt-BR"/>
              </w:rPr>
            </w:pPr>
            <w:r w:rsidRPr="00DB4852">
              <w:rPr>
                <w:rFonts w:ascii="Arial" w:hAnsi="Arial" w:cs="Arial"/>
                <w:b/>
                <w:sz w:val="20"/>
                <w:szCs w:val="20"/>
                <w:lang w:val="pt-BR"/>
              </w:rPr>
              <w:t>ITEM</w:t>
            </w:r>
          </w:p>
        </w:tc>
        <w:tc>
          <w:tcPr>
            <w:tcW w:w="3522" w:type="dxa"/>
            <w:shd w:val="clear" w:color="auto" w:fill="000000" w:themeFill="text1"/>
            <w:vAlign w:val="center"/>
          </w:tcPr>
          <w:p w:rsidR="00DB4852" w:rsidRPr="00DB4852" w:rsidRDefault="00DB4852" w:rsidP="00DB4852">
            <w:pPr>
              <w:pStyle w:val="SemEspaamento"/>
              <w:jc w:val="center"/>
              <w:rPr>
                <w:rFonts w:ascii="Arial" w:hAnsi="Arial" w:cs="Arial"/>
                <w:b/>
                <w:sz w:val="20"/>
                <w:szCs w:val="20"/>
                <w:lang w:val="pt-BR"/>
              </w:rPr>
            </w:pPr>
            <w:r w:rsidRPr="00DB4852">
              <w:rPr>
                <w:rFonts w:ascii="Arial" w:hAnsi="Arial" w:cs="Arial"/>
                <w:b/>
                <w:sz w:val="20"/>
                <w:szCs w:val="20"/>
                <w:lang w:val="pt-BR"/>
              </w:rPr>
              <w:t>ESPECIFICAÇÃO</w:t>
            </w:r>
          </w:p>
        </w:tc>
        <w:tc>
          <w:tcPr>
            <w:tcW w:w="851" w:type="dxa"/>
            <w:shd w:val="clear" w:color="auto" w:fill="000000" w:themeFill="text1"/>
            <w:vAlign w:val="center"/>
          </w:tcPr>
          <w:p w:rsidR="00DB4852" w:rsidRPr="00DB4852" w:rsidRDefault="00DB4852" w:rsidP="00DB4852">
            <w:pPr>
              <w:pStyle w:val="SemEspaamento"/>
              <w:jc w:val="center"/>
              <w:rPr>
                <w:rFonts w:ascii="Arial" w:hAnsi="Arial" w:cs="Arial"/>
                <w:b/>
                <w:sz w:val="20"/>
                <w:szCs w:val="20"/>
                <w:lang w:val="pt-BR"/>
              </w:rPr>
            </w:pPr>
            <w:r w:rsidRPr="00DB4852">
              <w:rPr>
                <w:rFonts w:ascii="Arial" w:hAnsi="Arial" w:cs="Arial"/>
                <w:b/>
                <w:sz w:val="20"/>
                <w:szCs w:val="20"/>
                <w:lang w:val="pt-BR"/>
              </w:rPr>
              <w:t>QTDE</w:t>
            </w:r>
          </w:p>
        </w:tc>
        <w:tc>
          <w:tcPr>
            <w:tcW w:w="709" w:type="dxa"/>
            <w:shd w:val="clear" w:color="auto" w:fill="000000" w:themeFill="text1"/>
            <w:vAlign w:val="center"/>
          </w:tcPr>
          <w:p w:rsidR="00DB4852" w:rsidRPr="00DB4852" w:rsidRDefault="00DB4852" w:rsidP="00DB4852">
            <w:pPr>
              <w:pStyle w:val="SemEspaamento"/>
              <w:jc w:val="center"/>
              <w:rPr>
                <w:rFonts w:ascii="Arial" w:hAnsi="Arial" w:cs="Arial"/>
                <w:b/>
                <w:sz w:val="20"/>
                <w:szCs w:val="20"/>
                <w:lang w:val="pt-BR"/>
              </w:rPr>
            </w:pPr>
            <w:r w:rsidRPr="00DB4852">
              <w:rPr>
                <w:rFonts w:ascii="Arial" w:hAnsi="Arial" w:cs="Arial"/>
                <w:b/>
                <w:sz w:val="20"/>
                <w:szCs w:val="20"/>
                <w:lang w:val="pt-BR"/>
              </w:rPr>
              <w:t>UNID</w:t>
            </w:r>
          </w:p>
        </w:tc>
      </w:tr>
      <w:tr w:rsidR="00DB4852" w:rsidRPr="00DB4852" w:rsidTr="00DB4852">
        <w:trPr>
          <w:trHeight w:hRule="exact" w:val="637"/>
          <w:jc w:val="center"/>
        </w:trPr>
        <w:tc>
          <w:tcPr>
            <w:tcW w:w="692"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01</w:t>
            </w:r>
          </w:p>
        </w:tc>
        <w:tc>
          <w:tcPr>
            <w:tcW w:w="3522" w:type="dxa"/>
            <w:vAlign w:val="center"/>
          </w:tcPr>
          <w:p w:rsidR="00DB4852" w:rsidRPr="00DB4852" w:rsidRDefault="00DB4852" w:rsidP="00DB4852">
            <w:pPr>
              <w:pStyle w:val="SemEspaamento"/>
              <w:rPr>
                <w:rFonts w:ascii="Arial" w:hAnsi="Arial" w:cs="Arial"/>
                <w:sz w:val="20"/>
                <w:szCs w:val="20"/>
                <w:lang w:val="pt-BR"/>
              </w:rPr>
            </w:pPr>
            <w:r w:rsidRPr="00DB4852">
              <w:rPr>
                <w:rFonts w:ascii="Arial" w:hAnsi="Arial" w:cs="Arial"/>
                <w:sz w:val="20"/>
                <w:szCs w:val="20"/>
                <w:lang w:val="pt-BR"/>
              </w:rPr>
              <w:t>Oxigênio 0Medicinal 1m³ a 3m³</w:t>
            </w:r>
          </w:p>
        </w:tc>
        <w:tc>
          <w:tcPr>
            <w:tcW w:w="851"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5.000</w:t>
            </w:r>
          </w:p>
        </w:tc>
        <w:tc>
          <w:tcPr>
            <w:tcW w:w="709"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M³</w:t>
            </w:r>
          </w:p>
        </w:tc>
      </w:tr>
      <w:tr w:rsidR="00DB4852" w:rsidRPr="00DB4852" w:rsidTr="00DB4852">
        <w:trPr>
          <w:trHeight w:hRule="exact" w:val="431"/>
          <w:jc w:val="center"/>
        </w:trPr>
        <w:tc>
          <w:tcPr>
            <w:tcW w:w="692"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02</w:t>
            </w:r>
          </w:p>
        </w:tc>
        <w:tc>
          <w:tcPr>
            <w:tcW w:w="3522" w:type="dxa"/>
            <w:vAlign w:val="center"/>
          </w:tcPr>
          <w:p w:rsidR="00DB4852" w:rsidRPr="00DB4852" w:rsidRDefault="00DB4852" w:rsidP="00DB4852">
            <w:pPr>
              <w:pStyle w:val="SemEspaamento"/>
              <w:rPr>
                <w:rFonts w:ascii="Arial" w:hAnsi="Arial" w:cs="Arial"/>
                <w:sz w:val="20"/>
                <w:szCs w:val="20"/>
                <w:lang w:val="pt-BR"/>
              </w:rPr>
            </w:pPr>
            <w:r w:rsidRPr="00DB4852">
              <w:rPr>
                <w:rFonts w:ascii="Arial" w:hAnsi="Arial" w:cs="Arial"/>
                <w:sz w:val="20"/>
                <w:szCs w:val="20"/>
                <w:lang w:val="pt-BR"/>
              </w:rPr>
              <w:t>Oxigênio Medicinal 2m³ a 5m³</w:t>
            </w:r>
          </w:p>
        </w:tc>
        <w:tc>
          <w:tcPr>
            <w:tcW w:w="851"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5.000</w:t>
            </w:r>
          </w:p>
        </w:tc>
        <w:tc>
          <w:tcPr>
            <w:tcW w:w="709"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M³</w:t>
            </w:r>
          </w:p>
        </w:tc>
      </w:tr>
      <w:tr w:rsidR="00DB4852" w:rsidRPr="00DB4852" w:rsidTr="00DB4852">
        <w:trPr>
          <w:trHeight w:hRule="exact" w:val="427"/>
          <w:jc w:val="center"/>
        </w:trPr>
        <w:tc>
          <w:tcPr>
            <w:tcW w:w="692"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03</w:t>
            </w:r>
          </w:p>
        </w:tc>
        <w:tc>
          <w:tcPr>
            <w:tcW w:w="3522" w:type="dxa"/>
            <w:vAlign w:val="center"/>
          </w:tcPr>
          <w:p w:rsidR="00DB4852" w:rsidRPr="00DB4852" w:rsidRDefault="00DB4852" w:rsidP="00DB4852">
            <w:pPr>
              <w:pStyle w:val="SemEspaamento"/>
              <w:rPr>
                <w:rFonts w:ascii="Arial" w:hAnsi="Arial" w:cs="Arial"/>
                <w:sz w:val="20"/>
                <w:szCs w:val="20"/>
                <w:lang w:val="pt-BR"/>
              </w:rPr>
            </w:pPr>
            <w:r w:rsidRPr="00DB4852">
              <w:rPr>
                <w:rFonts w:ascii="Arial" w:hAnsi="Arial" w:cs="Arial"/>
                <w:sz w:val="20"/>
                <w:szCs w:val="20"/>
                <w:lang w:val="pt-BR"/>
              </w:rPr>
              <w:t>Oxigênio Medicinal 6m³ a 10m³</w:t>
            </w:r>
          </w:p>
        </w:tc>
        <w:tc>
          <w:tcPr>
            <w:tcW w:w="851"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15.000</w:t>
            </w:r>
          </w:p>
        </w:tc>
        <w:tc>
          <w:tcPr>
            <w:tcW w:w="709" w:type="dxa"/>
            <w:vAlign w:val="center"/>
          </w:tcPr>
          <w:p w:rsidR="00DB4852" w:rsidRPr="00DB4852" w:rsidRDefault="00DB4852" w:rsidP="00DB4852">
            <w:pPr>
              <w:pStyle w:val="SemEspaamento"/>
              <w:jc w:val="center"/>
              <w:rPr>
                <w:rFonts w:ascii="Arial" w:hAnsi="Arial" w:cs="Arial"/>
                <w:sz w:val="20"/>
                <w:szCs w:val="20"/>
                <w:lang w:val="pt-BR"/>
              </w:rPr>
            </w:pPr>
            <w:r w:rsidRPr="00DB4852">
              <w:rPr>
                <w:rFonts w:ascii="Arial" w:hAnsi="Arial" w:cs="Arial"/>
                <w:sz w:val="20"/>
                <w:szCs w:val="20"/>
                <w:lang w:val="pt-BR"/>
              </w:rPr>
              <w:t>M³</w:t>
            </w:r>
          </w:p>
        </w:tc>
      </w:tr>
    </w:tbl>
    <w:p w:rsidR="00DB4852" w:rsidRPr="00DB4852" w:rsidRDefault="00DB4852" w:rsidP="00DB4852">
      <w:pPr>
        <w:jc w:val="both"/>
        <w:rPr>
          <w:rFonts w:ascii="Arial" w:hAnsi="Arial" w:cs="Arial"/>
          <w:b/>
        </w:rPr>
      </w:pPr>
    </w:p>
    <w:p w:rsidR="00DB4852" w:rsidRPr="00DB4852" w:rsidRDefault="00DB4852" w:rsidP="00DB4852">
      <w:pPr>
        <w:jc w:val="both"/>
        <w:rPr>
          <w:rFonts w:ascii="Arial" w:hAnsi="Arial" w:cs="Arial"/>
          <w:b/>
        </w:rPr>
      </w:pPr>
      <w:r w:rsidRPr="00DB4852">
        <w:rPr>
          <w:rFonts w:ascii="Arial" w:hAnsi="Arial" w:cs="Arial"/>
          <w:b/>
        </w:rPr>
        <w:t>III. JUSTIFICATIVA</w:t>
      </w:r>
    </w:p>
    <w:p w:rsidR="00DB4852" w:rsidRPr="00DB4852" w:rsidRDefault="00DB4852" w:rsidP="00DB4852">
      <w:pPr>
        <w:jc w:val="both"/>
        <w:rPr>
          <w:rFonts w:ascii="Arial" w:hAnsi="Arial" w:cs="Arial"/>
        </w:rPr>
      </w:pPr>
      <w:r w:rsidRPr="00DB4852">
        <w:rPr>
          <w:rFonts w:ascii="Arial" w:hAnsi="Arial" w:cs="Arial"/>
        </w:rPr>
        <w:tab/>
        <w:t>A presente licitação destina-se a atendimento as unidades de saúde do munícipio, bem como a Unidade de Pronto Atendimento Municipal, no qual necessita de torpedos de oxigênio para inalações e eventuais emergências, e aos pacientes que utilizam torpedos de oxigênio em suas residências.</w:t>
      </w:r>
    </w:p>
    <w:p w:rsidR="00DB4852" w:rsidRPr="00DB4852" w:rsidRDefault="00DB4852" w:rsidP="00DB4852">
      <w:pPr>
        <w:jc w:val="both"/>
        <w:rPr>
          <w:rFonts w:ascii="Arial" w:hAnsi="Arial" w:cs="Arial"/>
        </w:rPr>
      </w:pPr>
      <w:r w:rsidRPr="00DB4852">
        <w:rPr>
          <w:rFonts w:ascii="Arial" w:hAnsi="Arial" w:cs="Arial"/>
        </w:rPr>
        <w:tab/>
        <w:t>Reiteramos ainda que o critério de julgamento de menor preço global por lote é o indicado devido à empresa fornecer todos os itens licitados uniformemente, pois, algumas empresas fornecem o cilindro em comodato. Sendo apenas uma empresa, haverá um padrão em conformidade com as normas.</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IV. DESCRIÇÃO DOS PRODUTOS</w:t>
      </w:r>
    </w:p>
    <w:p w:rsidR="00DB4852" w:rsidRPr="00DB4852" w:rsidRDefault="00DB4852" w:rsidP="00DB4852">
      <w:pPr>
        <w:jc w:val="both"/>
        <w:rPr>
          <w:rFonts w:ascii="Arial" w:hAnsi="Arial" w:cs="Arial"/>
        </w:rPr>
      </w:pPr>
      <w:r w:rsidRPr="00DB4852">
        <w:rPr>
          <w:rFonts w:ascii="Arial" w:hAnsi="Arial" w:cs="Arial"/>
        </w:rPr>
        <w:t>Item 01: Oxigênio Medicinal cilindro de 1 m³ a 3 m³</w:t>
      </w:r>
    </w:p>
    <w:p w:rsidR="00DB4852" w:rsidRPr="00DB4852" w:rsidRDefault="00DB4852" w:rsidP="00DB4852">
      <w:pPr>
        <w:jc w:val="both"/>
        <w:rPr>
          <w:rFonts w:ascii="Arial" w:hAnsi="Arial" w:cs="Arial"/>
        </w:rPr>
      </w:pPr>
      <w:r w:rsidRPr="00DB4852">
        <w:rPr>
          <w:rFonts w:ascii="Arial" w:hAnsi="Arial" w:cs="Arial"/>
        </w:rPr>
        <w:t>Item 02: Oxigênio Medicinal cilindro de 2m³ a 5m³</w:t>
      </w:r>
    </w:p>
    <w:p w:rsidR="00DB4852" w:rsidRPr="00DB4852" w:rsidRDefault="00DB4852" w:rsidP="00DB4852">
      <w:pPr>
        <w:jc w:val="both"/>
        <w:rPr>
          <w:rFonts w:ascii="Arial" w:hAnsi="Arial" w:cs="Arial"/>
        </w:rPr>
      </w:pPr>
      <w:r w:rsidRPr="00DB4852">
        <w:rPr>
          <w:rFonts w:ascii="Arial" w:hAnsi="Arial" w:cs="Arial"/>
        </w:rPr>
        <w:t>Item 03: Oxigênio Medicinal cilindro de 6m³ a 10m³</w:t>
      </w:r>
    </w:p>
    <w:p w:rsidR="00DB4852" w:rsidRPr="00DB4852" w:rsidRDefault="00DB4852" w:rsidP="00DB4852">
      <w:pPr>
        <w:jc w:val="both"/>
        <w:rPr>
          <w:rFonts w:ascii="Arial" w:hAnsi="Arial" w:cs="Arial"/>
        </w:rPr>
      </w:pPr>
    </w:p>
    <w:p w:rsidR="00DB4852" w:rsidRPr="00DB4852" w:rsidRDefault="00DB4852" w:rsidP="00DB4852">
      <w:pPr>
        <w:pStyle w:val="PargrafodaLista"/>
        <w:numPr>
          <w:ilvl w:val="0"/>
          <w:numId w:val="28"/>
        </w:numPr>
        <w:spacing w:after="200" w:line="276" w:lineRule="auto"/>
        <w:contextualSpacing/>
        <w:jc w:val="both"/>
        <w:rPr>
          <w:rFonts w:ascii="Arial" w:hAnsi="Arial" w:cs="Arial"/>
        </w:rPr>
      </w:pPr>
      <w:r w:rsidRPr="00DB4852">
        <w:rPr>
          <w:rFonts w:ascii="Arial" w:hAnsi="Arial" w:cs="Arial"/>
        </w:rPr>
        <w:t>Rótulo ou adesivo, aposto em sua calota, onde conste:</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Pureza mínima 95% a 99,5%;</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Nome do gás medicinal ou mistura;</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Fórmula química;</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Concentração do gás;</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Quantidade líquida em m³ ou kg ou l do produto;</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Via de administração;</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Número do lote;</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Data de fabricação;</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Prazo de validade;</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Condições de armazenamento, se aplicável;</w:t>
      </w:r>
    </w:p>
    <w:p w:rsidR="00DB4852" w:rsidRPr="00DB4852" w:rsidRDefault="00DB4852" w:rsidP="00DB4852">
      <w:pPr>
        <w:pStyle w:val="PargrafodaLista"/>
        <w:numPr>
          <w:ilvl w:val="0"/>
          <w:numId w:val="27"/>
        </w:numPr>
        <w:spacing w:after="200" w:line="276" w:lineRule="auto"/>
        <w:ind w:left="993" w:hanging="284"/>
        <w:contextualSpacing/>
        <w:jc w:val="both"/>
        <w:rPr>
          <w:rFonts w:ascii="Arial" w:hAnsi="Arial" w:cs="Arial"/>
        </w:rPr>
      </w:pPr>
      <w:r w:rsidRPr="00DB4852">
        <w:rPr>
          <w:rFonts w:ascii="Arial" w:hAnsi="Arial" w:cs="Arial"/>
        </w:rPr>
        <w:t>Instruções sobre a manipulação correta e segura dos produtos;</w:t>
      </w:r>
    </w:p>
    <w:p w:rsidR="00DB4852" w:rsidRPr="00DB4852" w:rsidRDefault="00DB4852" w:rsidP="00DB4852">
      <w:pPr>
        <w:pStyle w:val="PargrafodaLista"/>
        <w:ind w:left="993"/>
        <w:jc w:val="both"/>
        <w:rPr>
          <w:rFonts w:ascii="Arial" w:hAnsi="Arial" w:cs="Arial"/>
        </w:rPr>
      </w:pPr>
    </w:p>
    <w:p w:rsidR="00DB4852" w:rsidRPr="00DB4852" w:rsidRDefault="00DB4852" w:rsidP="00DB4852">
      <w:pPr>
        <w:pStyle w:val="PargrafodaLista"/>
        <w:ind w:left="993"/>
        <w:jc w:val="both"/>
        <w:rPr>
          <w:rFonts w:ascii="Arial" w:hAnsi="Arial" w:cs="Arial"/>
        </w:rPr>
      </w:pP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t>Incluir as frases “Uso sob prescrição médica” e “Produto exclusivamente de uso medicinal”.</w:t>
      </w: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t>Este material deverá ser padronizado e aprovado pela ABNT e de 1ª linha;</w:t>
      </w: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t>Todo material deverá ser submetido à aprovação do setor técnico desta prefeitura;</w:t>
      </w: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t>Os cilindros deverão estar devidamente apropriados para utilização;</w:t>
      </w: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t>A pureza do oxigênio deverá estar dentro das normas estabelecidas pela vigilância sanitária e/ou órgão competente;</w:t>
      </w: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t>Os cilindros a serem orçados deverão ser do tipo “normal”- “cilindro verde”- com as descrições técnicas NB45, RDC50 e RDC51;</w:t>
      </w:r>
    </w:p>
    <w:p w:rsidR="00DB4852" w:rsidRPr="00DB4852" w:rsidRDefault="00DB4852" w:rsidP="00DB4852">
      <w:pPr>
        <w:pStyle w:val="PargrafodaLista"/>
        <w:numPr>
          <w:ilvl w:val="0"/>
          <w:numId w:val="28"/>
        </w:numPr>
        <w:spacing w:after="200" w:line="276" w:lineRule="auto"/>
        <w:ind w:left="0" w:firstLine="360"/>
        <w:contextualSpacing/>
        <w:jc w:val="both"/>
        <w:rPr>
          <w:rFonts w:ascii="Arial" w:hAnsi="Arial" w:cs="Arial"/>
        </w:rPr>
      </w:pPr>
      <w:r w:rsidRPr="00DB4852">
        <w:rPr>
          <w:rFonts w:ascii="Arial" w:hAnsi="Arial" w:cs="Arial"/>
        </w:rPr>
        <w:lastRenderedPageBreak/>
        <w:t>Deverá ser feita uma declaração que atende aos requisitos acima.</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V. DAS OBRIGAÇÕES DA CONTRATADA</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Ceder, sem ônus e em regime de comodato, cilindros com as capacidades apresentadas nos presentes itens da licitação e equipamentos relacionados, direta ou indiretamente, com a execução do objeto desta contratação, além de sua devida instalação, como Canula Nasal Adulto (Cateter), Frasco Umidificador, Máscara para Traqueostomia com extensão, Válvula reguladora com Fluxômetro, entre outros, com entrega nos endereços a cargo da solicitação da unidade requisitante;</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Dar assistência, manutenção, higienização, atendimento via telefone de forma gratuita, recolhimento dos cilindros e outros necessários sem qualquer tipo de ônus ao município;</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Fornecer a reposição, locomoção, manuseio e fixação dos cilindros, tanto em novos locais como na substituição nos locais existentes, fica a cargo exclusivo e obrigatório do licitado;</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A manutenção dos cilindros, caso necessário, deverá ocorrer conforme determinação do fabricante. A manutenção corretiva deverá incluir peças e mão-de-obra e em tempo hábil, de forma a não trazer nenhum prejuízo à saúde do paciente, salientando-se que nenhum cilindro será retirado de local sem que outro tome seu lugar;</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A licitante vencedora responsabiliza-se por todo e qualquer problema que o paciente possa ter em decorrência de problemas ocorridos por deficiência de atendimento e dos produtos;</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A responsabilidade da licitante cessa no momento em que, ao final da ata vigente, a licitante vencedora for comunicada oficialmente pela Secretaria Municipal de Saúde para a retirada dos equipamentos, podendo ser por fac-símile ou e-mail;</w:t>
      </w:r>
    </w:p>
    <w:p w:rsidR="00DB4852" w:rsidRPr="00DB4852" w:rsidRDefault="00DB4852" w:rsidP="00DB4852">
      <w:pPr>
        <w:pStyle w:val="PargrafodaLista"/>
        <w:numPr>
          <w:ilvl w:val="0"/>
          <w:numId w:val="29"/>
        </w:numPr>
        <w:spacing w:after="200" w:line="276" w:lineRule="auto"/>
        <w:ind w:left="0" w:firstLine="360"/>
        <w:contextualSpacing/>
        <w:jc w:val="both"/>
        <w:rPr>
          <w:rFonts w:ascii="Arial" w:hAnsi="Arial" w:cs="Arial"/>
        </w:rPr>
      </w:pPr>
      <w:r w:rsidRPr="00DB4852">
        <w:rPr>
          <w:rFonts w:ascii="Arial" w:hAnsi="Arial" w:cs="Arial"/>
        </w:rPr>
        <w:t>O paciente deverá contar com uma assistência técnica permanente, onde qualquer dúvida será esclarecida por um profissional competente, sempre que o mesmo necessitar, por meio de Sistema de Atendimento ao Consumidor, que funcione, 24 horas por dia, inclusive sábados, domingos e feriados.</w:t>
      </w:r>
    </w:p>
    <w:p w:rsidR="00DB4852" w:rsidRPr="00DB4852" w:rsidRDefault="00DB4852" w:rsidP="00DB4852">
      <w:pPr>
        <w:jc w:val="both"/>
        <w:rPr>
          <w:rFonts w:ascii="Arial" w:hAnsi="Arial" w:cs="Arial"/>
          <w:b/>
        </w:rPr>
      </w:pPr>
    </w:p>
    <w:p w:rsidR="00DB4852" w:rsidRPr="00DB4852" w:rsidRDefault="00DB4852" w:rsidP="00DB4852">
      <w:pPr>
        <w:jc w:val="both"/>
        <w:rPr>
          <w:rFonts w:ascii="Arial" w:hAnsi="Arial" w:cs="Arial"/>
        </w:rPr>
      </w:pPr>
      <w:r w:rsidRPr="00DB4852">
        <w:rPr>
          <w:rFonts w:ascii="Arial" w:hAnsi="Arial" w:cs="Arial"/>
          <w:b/>
        </w:rPr>
        <w:t>VI. CRITÉRIO DE ESCOLHA DE PREÇO E REAJUSTE CONTRATUAL</w:t>
      </w:r>
    </w:p>
    <w:p w:rsidR="00DB4852" w:rsidRPr="00DB4852" w:rsidRDefault="00DB4852" w:rsidP="00DB4852">
      <w:pPr>
        <w:pStyle w:val="PargrafodaLista"/>
        <w:numPr>
          <w:ilvl w:val="0"/>
          <w:numId w:val="30"/>
        </w:numPr>
        <w:spacing w:after="200" w:line="276" w:lineRule="auto"/>
        <w:ind w:left="0" w:firstLine="360"/>
        <w:contextualSpacing/>
        <w:jc w:val="both"/>
        <w:rPr>
          <w:rFonts w:ascii="Arial" w:hAnsi="Arial" w:cs="Arial"/>
        </w:rPr>
      </w:pPr>
      <w:r w:rsidRPr="00DB4852">
        <w:rPr>
          <w:rFonts w:ascii="Arial" w:hAnsi="Arial" w:cs="Arial"/>
        </w:rPr>
        <w:t>No preço apresentado pela licitada estão incluídas, além do lucro, todas as despesas, inclusive impostos, taxas e demais encargos necessários à prestação dos serviços que, direta ou indiretamente, estejam relacionadas com a execução do objeto desta contratação.</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VII. PRAZO DE EXECUÇÃO E RECEBIMENTO</w:t>
      </w: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No caso de emergência, o atendimento deverá ser prestado num prazo máximo de 8 (oito) horas.Conforme a gravidade da situação, a licitante deverá dar atendimento em tempo menor. Se houver algum tipo de dano a saúde do paciente por falta do atendimento, a licitante será responsabilizada;</w:t>
      </w: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Nas situações normais, desde que não coloque em risco a vida do paciente, o atendimento poderá ser prestado num prazo de 24 (vinte e quatro) à 48 (quarenta e oito) horas;</w:t>
      </w: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 xml:space="preserve">A entrega dos produtos ocorrerá por conta e risco da contratada, especialmente quanto aos procedimentos de </w:t>
      </w:r>
      <w:r w:rsidRPr="00DB4852">
        <w:rPr>
          <w:rFonts w:ascii="Arial" w:hAnsi="Arial" w:cs="Arial"/>
          <w:b/>
        </w:rPr>
        <w:t>transporte</w:t>
      </w:r>
      <w:r w:rsidRPr="00DB4852">
        <w:rPr>
          <w:rFonts w:ascii="Arial" w:hAnsi="Arial" w:cs="Arial"/>
        </w:rPr>
        <w:t xml:space="preserve">, </w:t>
      </w:r>
      <w:r w:rsidRPr="00DB4852">
        <w:rPr>
          <w:rFonts w:ascii="Arial" w:hAnsi="Arial" w:cs="Arial"/>
          <w:b/>
        </w:rPr>
        <w:t>carga</w:t>
      </w:r>
      <w:r w:rsidRPr="00DB4852">
        <w:rPr>
          <w:rFonts w:ascii="Arial" w:hAnsi="Arial" w:cs="Arial"/>
        </w:rPr>
        <w:t xml:space="preserve"> e </w:t>
      </w:r>
      <w:r w:rsidRPr="00DB4852">
        <w:rPr>
          <w:rFonts w:ascii="Arial" w:hAnsi="Arial" w:cs="Arial"/>
          <w:b/>
        </w:rPr>
        <w:t>descarga</w:t>
      </w:r>
      <w:r w:rsidRPr="00DB4852">
        <w:rPr>
          <w:rFonts w:ascii="Arial" w:hAnsi="Arial" w:cs="Arial"/>
        </w:rPr>
        <w:t>, nos seguintes endereços abaixo a cargo da solicitação da unidade requisitante:</w:t>
      </w:r>
    </w:p>
    <w:p w:rsidR="00DB4852" w:rsidRPr="00DB4852" w:rsidRDefault="00DB4852" w:rsidP="00DB4852">
      <w:pPr>
        <w:jc w:val="both"/>
        <w:rPr>
          <w:rFonts w:ascii="Arial" w:hAnsi="Arial" w:cs="Arial"/>
        </w:rPr>
      </w:pPr>
    </w:p>
    <w:tbl>
      <w:tblPr>
        <w:tblStyle w:val="Tabelacomgrade"/>
        <w:tblW w:w="9922" w:type="dxa"/>
        <w:jc w:val="center"/>
        <w:tblLook w:val="04A0"/>
      </w:tblPr>
      <w:tblGrid>
        <w:gridCol w:w="481"/>
        <w:gridCol w:w="2789"/>
        <w:gridCol w:w="2829"/>
        <w:gridCol w:w="1969"/>
        <w:gridCol w:w="1854"/>
      </w:tblGrid>
      <w:tr w:rsidR="00DB4852" w:rsidRPr="00DB4852" w:rsidTr="00DB4852">
        <w:trPr>
          <w:jc w:val="center"/>
        </w:trPr>
        <w:tc>
          <w:tcPr>
            <w:tcW w:w="483" w:type="dxa"/>
            <w:tcBorders>
              <w:top w:val="nil"/>
              <w:left w:val="nil"/>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DB4852" w:rsidRPr="00DB4852" w:rsidRDefault="00DB4852" w:rsidP="00DB4852">
            <w:pPr>
              <w:pStyle w:val="SemEspaamento"/>
              <w:jc w:val="center"/>
              <w:rPr>
                <w:rFonts w:ascii="Arial" w:hAnsi="Arial" w:cs="Arial"/>
                <w:b/>
                <w:color w:val="FFFFFF" w:themeColor="background1"/>
                <w:sz w:val="20"/>
                <w:szCs w:val="20"/>
              </w:rPr>
            </w:pPr>
            <w:r w:rsidRPr="00DB4852">
              <w:rPr>
                <w:rFonts w:ascii="Arial" w:hAnsi="Arial" w:cs="Arial"/>
                <w:b/>
                <w:color w:val="FFFFFF" w:themeColor="background1"/>
                <w:sz w:val="20"/>
                <w:szCs w:val="20"/>
              </w:rPr>
              <w:t>DESCRIÇÃO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DB4852" w:rsidRPr="00DB4852" w:rsidRDefault="00DB4852" w:rsidP="00DB4852">
            <w:pPr>
              <w:pStyle w:val="SemEspaamento"/>
              <w:jc w:val="center"/>
              <w:rPr>
                <w:rFonts w:ascii="Arial" w:hAnsi="Arial" w:cs="Arial"/>
                <w:b/>
                <w:color w:val="FFFFFF" w:themeColor="background1"/>
                <w:sz w:val="20"/>
                <w:szCs w:val="20"/>
              </w:rPr>
            </w:pPr>
            <w:r w:rsidRPr="00DB4852">
              <w:rPr>
                <w:rFonts w:ascii="Arial" w:hAnsi="Arial" w:cs="Arial"/>
                <w:b/>
                <w:color w:val="FFFFFF" w:themeColor="background1"/>
                <w:sz w:val="20"/>
                <w:szCs w:val="20"/>
              </w:rPr>
              <w:t>ENDEREÇO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DB4852" w:rsidRPr="00DB4852" w:rsidRDefault="00DB4852" w:rsidP="00DB4852">
            <w:pPr>
              <w:pStyle w:val="SemEspaamento"/>
              <w:jc w:val="center"/>
              <w:rPr>
                <w:rFonts w:ascii="Arial" w:hAnsi="Arial" w:cs="Arial"/>
                <w:b/>
                <w:color w:val="FFFFFF" w:themeColor="background1"/>
                <w:sz w:val="20"/>
                <w:szCs w:val="20"/>
              </w:rPr>
            </w:pPr>
            <w:r w:rsidRPr="00DB4852">
              <w:rPr>
                <w:rFonts w:ascii="Arial" w:hAnsi="Arial" w:cs="Arial"/>
                <w:b/>
                <w:color w:val="FFFFFF" w:themeColor="background1"/>
                <w:sz w:val="20"/>
                <w:szCs w:val="20"/>
              </w:rPr>
              <w:t>BAIRRO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DB4852" w:rsidRPr="00DB4852" w:rsidRDefault="00DB4852" w:rsidP="00DB4852">
            <w:pPr>
              <w:pStyle w:val="SemEspaamento"/>
              <w:jc w:val="center"/>
              <w:rPr>
                <w:rFonts w:ascii="Arial" w:hAnsi="Arial" w:cs="Arial"/>
                <w:b/>
                <w:color w:val="FFFFFF" w:themeColor="background1"/>
                <w:sz w:val="20"/>
                <w:szCs w:val="20"/>
              </w:rPr>
            </w:pPr>
            <w:r w:rsidRPr="00DB4852">
              <w:rPr>
                <w:rFonts w:ascii="Arial" w:hAnsi="Arial" w:cs="Arial"/>
                <w:b/>
                <w:color w:val="FFFFFF" w:themeColor="background1"/>
                <w:sz w:val="20"/>
                <w:szCs w:val="20"/>
              </w:rPr>
              <w:t>TELEFONE</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01</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ESF Dona Anitta Pinheiro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Pedro AntonioCarandinaHespanhol, 657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Jardim Juventude</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3546-6284</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02</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ESF Américo Bertão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dos Cravos, 55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Jardim Eldorado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3546-4510</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03</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ESF Dalcy de Campos Toledo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Toledo Barros, 422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3546-9410</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lastRenderedPageBreak/>
              <w:t>04</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ESF Deolinda Magrin</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UardeAbrahao de Campos Toledo, 1181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Jardim São Luiz</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(11) 2226-0469</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05</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ESF Lydia Benedicto da Cruz</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José Oliva Del Teso, 637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Jardim Progresso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3546-1246</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06</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ESF Silvina Ferreira Pereira</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Avenida Aristeu Marcicano, 3376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Jardim Cordeiro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3546-1946</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07</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UBS Maria Tomazella Celotti</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José Walter Sommer, 525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Cascalho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3546-5344</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08</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Unidade de Pronto Atendimento - UPAM</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Avenida Presidente Vargas, 314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3546-9599</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09</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 xml:space="preserve">CAPS Mentes Brilhantes </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07 de Setembro, 816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Vila Santo Antônio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3546-8235</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10</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SAMU Cordeirópolis</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Camilo Botechia, 300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Vila Dona Loni Levy</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3546-5176</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11</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Centro de Especialidades Virginia Gambarotto Zanetti</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Rua Toledo Barros, 422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3546-9412</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12</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852" w:rsidRPr="00DB4852" w:rsidRDefault="00DB4852" w:rsidP="00DB4852">
            <w:pPr>
              <w:jc w:val="both"/>
              <w:rPr>
                <w:rFonts w:ascii="Arial" w:hAnsi="Arial" w:cs="Arial"/>
              </w:rPr>
            </w:pPr>
            <w:r w:rsidRPr="00DB4852">
              <w:rPr>
                <w:rFonts w:ascii="Arial" w:hAnsi="Arial" w:cs="Arial"/>
              </w:rPr>
              <w:t>Central de Ambulâncias (Transporte Sanitário)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852" w:rsidRPr="00DB4852" w:rsidRDefault="00DB4852" w:rsidP="00DB4852">
            <w:pPr>
              <w:rPr>
                <w:rFonts w:ascii="Arial" w:hAnsi="Arial" w:cs="Arial"/>
              </w:rPr>
            </w:pPr>
            <w:r w:rsidRPr="00DB4852">
              <w:rPr>
                <w:rFonts w:ascii="Arial" w:hAnsi="Arial" w:cs="Arial"/>
              </w:rPr>
              <w:t>Avenida Presidente Vargas, 314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3546-9841</w:t>
            </w:r>
          </w:p>
        </w:tc>
      </w:tr>
      <w:tr w:rsidR="00DB4852" w:rsidRPr="00DB4852" w:rsidTr="00DB4852">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13</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852" w:rsidRPr="00DB4852" w:rsidRDefault="00DB4852" w:rsidP="00DB4852">
            <w:pPr>
              <w:jc w:val="both"/>
              <w:rPr>
                <w:rFonts w:ascii="Arial" w:hAnsi="Arial" w:cs="Arial"/>
              </w:rPr>
            </w:pPr>
            <w:r w:rsidRPr="00DB4852">
              <w:rPr>
                <w:rFonts w:ascii="Arial" w:hAnsi="Arial" w:cs="Arial"/>
              </w:rPr>
              <w:t>UPAM – Unidade de Pronto Atendimento Municipal</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4852" w:rsidRPr="00DB4852" w:rsidRDefault="00DB4852" w:rsidP="00DB4852">
            <w:pPr>
              <w:rPr>
                <w:rFonts w:ascii="Arial" w:hAnsi="Arial" w:cs="Arial"/>
              </w:rPr>
            </w:pPr>
            <w:r w:rsidRPr="00DB4852">
              <w:rPr>
                <w:rFonts w:ascii="Arial" w:hAnsi="Arial" w:cs="Arial"/>
              </w:rPr>
              <w:t>Avenida Presidente Vargas, 314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(19) 3546-9599</w:t>
            </w:r>
          </w:p>
        </w:tc>
      </w:tr>
    </w:tbl>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através de e-mail e/ou telefone;</w:t>
      </w: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w:t>
      </w: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Os cilindros deverão ser entregues em bom estado de conservação;</w:t>
      </w:r>
    </w:p>
    <w:p w:rsidR="00DB4852" w:rsidRPr="00DB4852" w:rsidRDefault="00DB4852" w:rsidP="00DB4852">
      <w:pPr>
        <w:pStyle w:val="PargrafodaLista"/>
        <w:numPr>
          <w:ilvl w:val="0"/>
          <w:numId w:val="31"/>
        </w:numPr>
        <w:spacing w:after="200" w:line="276" w:lineRule="auto"/>
        <w:ind w:left="0" w:firstLine="360"/>
        <w:contextualSpacing/>
        <w:jc w:val="both"/>
        <w:rPr>
          <w:rFonts w:ascii="Arial" w:hAnsi="Arial" w:cs="Arial"/>
        </w:rPr>
      </w:pPr>
      <w:r w:rsidRPr="00DB4852">
        <w:rPr>
          <w:rFonts w:ascii="Arial" w:hAnsi="Arial" w:cs="Arial"/>
        </w:rPr>
        <w:t>A execução dos serviços poderá ser realizada em todos os dias com a anuência do responsável do setor.</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VIII. DOS RECURSOS ORÇAMENTÁRIOS</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r w:rsidRPr="00DB4852">
        <w:rPr>
          <w:rFonts w:ascii="Arial" w:hAnsi="Arial" w:cs="Arial"/>
        </w:rPr>
        <w:tab/>
        <w:t xml:space="preserve">Para suportar a presente contratação, deverão ser oneradas as seguintes dotações orçamentárias: </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995"/>
        <w:gridCol w:w="1329"/>
        <w:gridCol w:w="1329"/>
        <w:gridCol w:w="706"/>
        <w:gridCol w:w="761"/>
        <w:gridCol w:w="1950"/>
      </w:tblGrid>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DB4852" w:rsidRPr="00DB4852" w:rsidRDefault="00DB4852" w:rsidP="00DB4852">
            <w:pPr>
              <w:pStyle w:val="SemEspaamento"/>
              <w:jc w:val="center"/>
              <w:rPr>
                <w:rFonts w:ascii="Arial" w:eastAsia="Times New Roman" w:hAnsi="Arial" w:cs="Arial"/>
                <w:b/>
                <w:color w:val="FFFFFF" w:themeColor="background1"/>
                <w:sz w:val="20"/>
                <w:szCs w:val="20"/>
              </w:rPr>
            </w:pPr>
            <w:r w:rsidRPr="00DB4852">
              <w:rPr>
                <w:rFonts w:ascii="Arial" w:hAnsi="Arial" w:cs="Arial"/>
                <w:b/>
                <w:color w:val="FFFFFF" w:themeColor="background1"/>
                <w:sz w:val="20"/>
                <w:szCs w:val="20"/>
              </w:rPr>
              <w:t>Cód. de Aplicação</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14</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3010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133</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3010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607</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608</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609</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742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08</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3010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754</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92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833</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3010002</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847</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3010001</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855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8000001</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138</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376</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605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613</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lastRenderedPageBreak/>
              <w:t>614</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666</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8000001</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755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95</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3120</w:t>
            </w:r>
          </w:p>
        </w:tc>
      </w:tr>
      <w:tr w:rsidR="00DB4852" w:rsidRPr="00DB4852" w:rsidTr="00DB4852">
        <w:trPr>
          <w:jc w:val="center"/>
        </w:trPr>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839</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3.3.90.30.00</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rPr>
                <w:rFonts w:ascii="Arial" w:hAnsi="Arial" w:cs="Arial"/>
                <w:sz w:val="20"/>
                <w:szCs w:val="20"/>
              </w:rPr>
            </w:pPr>
            <w:r w:rsidRPr="00DB4852">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02</w:t>
            </w:r>
          </w:p>
        </w:tc>
        <w:tc>
          <w:tcPr>
            <w:tcW w:w="0" w:type="auto"/>
            <w:tcBorders>
              <w:top w:val="single" w:sz="4" w:space="0" w:color="000000"/>
              <w:left w:val="single" w:sz="4" w:space="0" w:color="000000"/>
              <w:bottom w:val="single" w:sz="4" w:space="0" w:color="000000"/>
              <w:right w:val="single" w:sz="4" w:space="0" w:color="000000"/>
            </w:tcBorders>
          </w:tcPr>
          <w:p w:rsidR="00DB4852" w:rsidRPr="00DB4852" w:rsidRDefault="00DB4852" w:rsidP="00DB4852">
            <w:pPr>
              <w:pStyle w:val="SemEspaamento"/>
              <w:jc w:val="center"/>
              <w:rPr>
                <w:rFonts w:ascii="Arial" w:hAnsi="Arial" w:cs="Arial"/>
                <w:sz w:val="20"/>
                <w:szCs w:val="20"/>
              </w:rPr>
            </w:pPr>
            <w:r w:rsidRPr="00DB4852">
              <w:rPr>
                <w:rFonts w:ascii="Arial" w:hAnsi="Arial" w:cs="Arial"/>
                <w:sz w:val="20"/>
                <w:szCs w:val="20"/>
              </w:rPr>
              <w:t>3020001</w:t>
            </w:r>
          </w:p>
        </w:tc>
      </w:tr>
    </w:tbl>
    <w:p w:rsidR="00DB4852" w:rsidRPr="00DB4852" w:rsidRDefault="00DB4852" w:rsidP="00DB4852">
      <w:pPr>
        <w:jc w:val="both"/>
        <w:rPr>
          <w:rFonts w:ascii="Arial" w:hAnsi="Arial" w:cs="Arial"/>
          <w:b/>
        </w:rPr>
      </w:pPr>
    </w:p>
    <w:p w:rsidR="00DB4852" w:rsidRPr="00DB4852" w:rsidRDefault="00DB4852" w:rsidP="00DB4852">
      <w:pPr>
        <w:tabs>
          <w:tab w:val="left" w:pos="1035"/>
        </w:tabs>
        <w:jc w:val="both"/>
        <w:rPr>
          <w:rFonts w:ascii="Arial" w:hAnsi="Arial" w:cs="Arial"/>
          <w:b/>
        </w:rPr>
      </w:pPr>
      <w:r w:rsidRPr="00DB4852">
        <w:rPr>
          <w:rFonts w:ascii="Arial" w:hAnsi="Arial" w:cs="Arial"/>
          <w:b/>
        </w:rPr>
        <w:t>IX. CONDIÇÕES DE PAGAMENTO</w:t>
      </w:r>
    </w:p>
    <w:p w:rsidR="00DB4852" w:rsidRPr="00DB4852" w:rsidRDefault="00DB4852" w:rsidP="00DB4852">
      <w:pPr>
        <w:jc w:val="both"/>
        <w:rPr>
          <w:rFonts w:ascii="Arial" w:hAnsi="Arial" w:cs="Arial"/>
        </w:rPr>
      </w:pPr>
      <w:r w:rsidRPr="00DB4852">
        <w:rPr>
          <w:rFonts w:ascii="Arial" w:hAnsi="Arial" w:cs="Arial"/>
        </w:rPr>
        <w:tab/>
        <w:t>Os pagamentos serão efetuados no prazo de 15 (quinze) dias corridos, contados da expedição do Atestado de Recebimento, à vista de nota(s) fiscal(is)/fatura(s) apresentada(s).</w:t>
      </w:r>
    </w:p>
    <w:p w:rsidR="00DB4852" w:rsidRPr="00DB4852" w:rsidRDefault="00DB4852" w:rsidP="00DB4852">
      <w:pPr>
        <w:jc w:val="both"/>
        <w:rPr>
          <w:rFonts w:ascii="Arial" w:hAnsi="Arial" w:cs="Arial"/>
          <w:b/>
        </w:rPr>
      </w:pPr>
    </w:p>
    <w:p w:rsidR="00DB4852" w:rsidRPr="00DB4852" w:rsidRDefault="00DB4852" w:rsidP="00DB4852">
      <w:pPr>
        <w:jc w:val="both"/>
        <w:rPr>
          <w:rFonts w:ascii="Arial" w:hAnsi="Arial" w:cs="Arial"/>
          <w:b/>
        </w:rPr>
      </w:pPr>
      <w:r w:rsidRPr="00DB4852">
        <w:rPr>
          <w:rFonts w:ascii="Arial" w:hAnsi="Arial" w:cs="Arial"/>
          <w:b/>
        </w:rPr>
        <w:t>X. DA MODALIDADE LICITATÓRIA</w:t>
      </w:r>
    </w:p>
    <w:p w:rsidR="00DB4852" w:rsidRPr="00DB4852" w:rsidRDefault="00DB4852" w:rsidP="00DB4852">
      <w:pPr>
        <w:jc w:val="both"/>
        <w:rPr>
          <w:rFonts w:ascii="Arial" w:hAnsi="Arial" w:cs="Arial"/>
        </w:rPr>
      </w:pPr>
      <w:r w:rsidRPr="00DB4852">
        <w:rPr>
          <w:rFonts w:ascii="Arial" w:hAnsi="Arial" w:cs="Arial"/>
        </w:rPr>
        <w:tab/>
        <w:t>Pregão para registro de preço.</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r w:rsidRPr="00DB4852">
        <w:rPr>
          <w:rFonts w:ascii="Arial" w:hAnsi="Arial" w:cs="Arial"/>
          <w:b/>
        </w:rPr>
        <w:t>XI. CRITÉRIO DE JULGAMENTO</w:t>
      </w:r>
    </w:p>
    <w:p w:rsidR="00DB4852" w:rsidRPr="00DB4852" w:rsidRDefault="00DB4852" w:rsidP="00DB4852">
      <w:pPr>
        <w:jc w:val="both"/>
        <w:rPr>
          <w:rFonts w:ascii="Arial" w:hAnsi="Arial" w:cs="Arial"/>
        </w:rPr>
      </w:pPr>
      <w:r w:rsidRPr="00DB4852">
        <w:rPr>
          <w:rFonts w:ascii="Arial" w:hAnsi="Arial" w:cs="Arial"/>
        </w:rPr>
        <w:tab/>
        <w:t>Deverá ser utilizado o critério de menor preço global.</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 xml:space="preserve">XII. DA VIGÊNCIA </w:t>
      </w:r>
    </w:p>
    <w:p w:rsidR="00DB4852" w:rsidRPr="00DB4852" w:rsidRDefault="00DB4852" w:rsidP="00DB4852">
      <w:pPr>
        <w:jc w:val="both"/>
        <w:rPr>
          <w:rFonts w:ascii="Arial" w:hAnsi="Arial" w:cs="Arial"/>
        </w:rPr>
      </w:pPr>
      <w:r w:rsidRPr="00DB4852">
        <w:rPr>
          <w:rFonts w:ascii="Arial" w:hAnsi="Arial" w:cs="Arial"/>
        </w:rPr>
        <w:tab/>
        <w:t>O prazo de vigência será de 12 (doze) meses, contados a partir de sua assinatura, vedada sua prorrogação.</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b/>
        </w:rPr>
        <w:t>XIII. DAS DISPOSIÇÕES FINAIS</w:t>
      </w:r>
    </w:p>
    <w:p w:rsidR="00DB4852" w:rsidRPr="00DB4852" w:rsidRDefault="00DB4852" w:rsidP="00DB4852">
      <w:pPr>
        <w:jc w:val="both"/>
        <w:rPr>
          <w:rFonts w:ascii="Arial" w:hAnsi="Arial" w:cs="Arial"/>
        </w:rPr>
      </w:pPr>
      <w:r w:rsidRPr="00DB4852">
        <w:rPr>
          <w:rFonts w:ascii="Arial" w:hAnsi="Arial" w:cs="Arial"/>
        </w:rPr>
        <w:tab/>
        <w:t>As especificações contidas no presente termo de referência não conduzem a determinada marca ou fornecedor.</w:t>
      </w: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rPr>
      </w:pPr>
    </w:p>
    <w:p w:rsidR="00DB4852" w:rsidRPr="00DB4852" w:rsidRDefault="00DB4852" w:rsidP="00DB4852">
      <w:pPr>
        <w:jc w:val="both"/>
        <w:rPr>
          <w:rFonts w:ascii="Arial" w:hAnsi="Arial" w:cs="Arial"/>
          <w:b/>
        </w:rPr>
      </w:pPr>
      <w:r w:rsidRPr="00DB4852">
        <w:rPr>
          <w:rFonts w:ascii="Arial" w:hAnsi="Arial" w:cs="Arial"/>
        </w:rPr>
        <w:t xml:space="preserve">                                                    </w:t>
      </w:r>
      <w:r w:rsidRPr="00DB4852">
        <w:rPr>
          <w:rFonts w:ascii="Arial" w:hAnsi="Arial" w:cs="Arial"/>
          <w:b/>
        </w:rPr>
        <w:t xml:space="preserve">JORDANA CASSETÁRIO </w:t>
      </w:r>
    </w:p>
    <w:p w:rsidR="00DB4852" w:rsidRPr="00DB4852" w:rsidRDefault="00DB4852" w:rsidP="00DB4852">
      <w:pPr>
        <w:jc w:val="both"/>
        <w:rPr>
          <w:rFonts w:ascii="Arial" w:hAnsi="Arial" w:cs="Arial"/>
        </w:rPr>
      </w:pPr>
      <w:r w:rsidRPr="00DB4852">
        <w:rPr>
          <w:rFonts w:ascii="Arial" w:hAnsi="Arial" w:cs="Arial"/>
          <w:b/>
        </w:rPr>
        <w:t xml:space="preserve">                                         </w:t>
      </w:r>
      <w:r w:rsidRPr="00DB4852">
        <w:rPr>
          <w:rFonts w:ascii="Arial" w:hAnsi="Arial" w:cs="Arial"/>
        </w:rPr>
        <w:t>SECRETÁRIA MUNICIPAL DE SAÚDE</w:t>
      </w:r>
    </w:p>
    <w:p w:rsidR="00DB4852" w:rsidRDefault="00DB4852" w:rsidP="00DB4852">
      <w:pPr>
        <w:jc w:val="both"/>
        <w:rPr>
          <w:rFonts w:ascii="Arial" w:hAnsi="Arial" w:cs="Arial"/>
          <w:sz w:val="24"/>
          <w:szCs w:val="24"/>
        </w:rPr>
      </w:pPr>
    </w:p>
    <w:p w:rsidR="00DB4852" w:rsidRPr="00341E39" w:rsidRDefault="00DB4852" w:rsidP="00DB4852"/>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B4852">
        <w:rPr>
          <w:rFonts w:ascii="Arial" w:hAnsi="Arial" w:cs="Arial"/>
        </w:rPr>
        <w:t>35/2021</w:t>
      </w:r>
      <w:r w:rsidR="008E2C22">
        <w:rPr>
          <w:rFonts w:ascii="Arial" w:hAnsi="Arial" w:cs="Arial"/>
        </w:rPr>
        <w:t xml:space="preserve"> (Processo </w:t>
      </w:r>
      <w:r w:rsidR="00072044">
        <w:rPr>
          <w:rFonts w:ascii="Arial" w:hAnsi="Arial" w:cs="Arial"/>
        </w:rPr>
        <w:t xml:space="preserve">Administrativo nº </w:t>
      </w:r>
      <w:r w:rsidR="00DB4852">
        <w:rPr>
          <w:rFonts w:ascii="Arial" w:hAnsi="Arial" w:cs="Arial"/>
        </w:rPr>
        <w:t>2683/2021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DB4852">
        <w:rPr>
          <w:rFonts w:ascii="Arial" w:hAnsi="Arial" w:cs="Arial"/>
          <w:sz w:val="20"/>
        </w:rPr>
        <w:t>REGISTRO DE PREÇOS PARA FORNECIMENTO DE OXIGÊNIO MEDICINAL PARA A SECRETARIA MUNICIPAL DE CORDEIRÓPOLIS, UPAM E DEMAIS UNIDADES RELACIONADAS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B4852">
        <w:rPr>
          <w:rFonts w:ascii="Arial" w:hAnsi="Arial" w:cs="Arial"/>
        </w:rPr>
        <w:t>35/2021</w:t>
      </w:r>
      <w:r w:rsidR="002E7B99">
        <w:rPr>
          <w:rFonts w:ascii="Arial" w:hAnsi="Arial" w:cs="Arial"/>
        </w:rPr>
        <w:t xml:space="preserve"> (Processo Administrativo nº </w:t>
      </w:r>
      <w:r w:rsidR="00DB4852">
        <w:rPr>
          <w:rFonts w:ascii="Arial" w:hAnsi="Arial" w:cs="Arial"/>
        </w:rPr>
        <w:t>2683/2021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DB4852">
        <w:rPr>
          <w:rFonts w:ascii="Arial" w:hAnsi="Arial" w:cs="Arial"/>
          <w:color w:val="000000"/>
          <w:sz w:val="20"/>
        </w:rPr>
        <w:t>REGISTRO DE PREÇOS PARA FORNECIMENTO DE OXIGÊNIO MEDICINAL PARA A SECRETARIA MUNICIPAL DE CORDEIRÓPOLIS, UPAM E DEMAIS UNIDADES RELACIONADAS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DB4852">
        <w:rPr>
          <w:rFonts w:ascii="Arial" w:hAnsi="Arial" w:cs="Arial"/>
        </w:rPr>
        <w:t>35/2021</w:t>
      </w:r>
      <w:r w:rsidR="00072044">
        <w:rPr>
          <w:rFonts w:ascii="Arial" w:hAnsi="Arial" w:cs="Arial"/>
        </w:rPr>
        <w:t xml:space="preserve"> (Processo Administrativo nº </w:t>
      </w:r>
      <w:r w:rsidR="00DB4852">
        <w:rPr>
          <w:rFonts w:ascii="Arial" w:hAnsi="Arial" w:cs="Arial"/>
        </w:rPr>
        <w:t>2683/2021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DB4852">
        <w:rPr>
          <w:rFonts w:ascii="Arial" w:hAnsi="Arial" w:cs="Arial"/>
          <w:color w:val="000000"/>
          <w:sz w:val="20"/>
        </w:rPr>
        <w:t>REGISTRO DE PREÇOS PARA FORNECIMENTO DE OXIGÊNIO MEDICINAL PARA A SECRETARIA MUNICIPAL DE CORDEIRÓPOLIS, UPAM E DEMAIS UNIDADES RELACIONADAS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B4852">
        <w:rPr>
          <w:rFonts w:ascii="Arial" w:hAnsi="Arial" w:cs="Arial"/>
        </w:rPr>
        <w:t>35/2021</w:t>
      </w:r>
      <w:r w:rsidR="006712BE">
        <w:rPr>
          <w:rFonts w:ascii="Arial" w:hAnsi="Arial" w:cs="Arial"/>
        </w:rPr>
        <w:t xml:space="preserve"> (Processo Administrativo nº </w:t>
      </w:r>
      <w:r w:rsidR="00DB4852">
        <w:rPr>
          <w:rFonts w:ascii="Arial" w:hAnsi="Arial" w:cs="Arial"/>
        </w:rPr>
        <w:t>2683/2021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DB4852">
        <w:rPr>
          <w:rFonts w:ascii="Arial" w:hAnsi="Arial" w:cs="Arial"/>
          <w:color w:val="000000"/>
          <w:sz w:val="20"/>
        </w:rPr>
        <w:t>REGISTRO DE PREÇOS PARA FORNECIMENTO DE OXIGÊNIO MEDICINAL PARA A SECRETARIA MUNICIPAL DE CORDEIRÓPOLIS, UPAM E DEMAIS UNIDADES RELACIONADAS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DB4852">
        <w:rPr>
          <w:rFonts w:ascii="Arial" w:hAnsi="Arial" w:cs="Arial"/>
        </w:rPr>
        <w:t>35/2021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DB4852">
        <w:rPr>
          <w:rFonts w:ascii="Arial" w:hAnsi="Arial" w:cs="Arial"/>
          <w:color w:val="000000"/>
          <w:sz w:val="20"/>
        </w:rPr>
        <w:t>REGISTRO DE PREÇOS PARA FORNECIMENTO DE OXIGÊNIO MEDICINAL PARA A SECRETARIA MUNICIPAL DE CORDEIRÓPOLIS, UPAM E DEMAIS UNIDADES RELACIONADAS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DB4852">
        <w:rPr>
          <w:rFonts w:ascii="Arial" w:hAnsi="Arial" w:cs="Arial"/>
          <w:color w:val="000000"/>
        </w:rPr>
        <w:t>REGISTRO DE PREÇOS PARA FORNECIMENTO DE OXIGÊNIO MEDICINAL PARA A SECRETARIA MUNICIPAL DE CORDEIRÓPOLIS, UPAM E DEMAIS UNIDADES RELACIONADAS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B4F59">
        <w:rPr>
          <w:rFonts w:ascii="Arial" w:hAnsi="Arial" w:cs="Arial"/>
          <w:b/>
        </w:rPr>
        <w:t>1</w:t>
      </w:r>
      <w:r w:rsidR="00725FC1">
        <w:rPr>
          <w:rFonts w:ascii="Arial" w:hAnsi="Arial" w:cs="Arial"/>
          <w:b/>
        </w:rPr>
        <w:t>5</w:t>
      </w:r>
      <w:r w:rsidRPr="00225B1B">
        <w:rPr>
          <w:rFonts w:ascii="Arial" w:hAnsi="Arial" w:cs="Arial"/>
          <w:b/>
        </w:rPr>
        <w:t xml:space="preserve"> (</w:t>
      </w:r>
      <w:r w:rsidR="00725FC1">
        <w:rPr>
          <w:rFonts w:ascii="Arial" w:hAnsi="Arial" w:cs="Arial"/>
          <w:b/>
        </w:rPr>
        <w:t>quinze</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Serviços Públicos</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A25012">
        <w:rPr>
          <w:rFonts w:ascii="Arial" w:hAnsi="Arial" w:cs="Arial"/>
          <w:b/>
        </w:rPr>
        <w:t>15</w:t>
      </w:r>
      <w:r w:rsidRPr="00C22D99">
        <w:rPr>
          <w:rFonts w:ascii="Arial" w:hAnsi="Arial" w:cs="Arial"/>
          <w:b/>
        </w:rPr>
        <w:t xml:space="preserve"> (</w:t>
      </w:r>
      <w:r w:rsidR="005557FB">
        <w:rPr>
          <w:rFonts w:ascii="Arial" w:hAnsi="Arial" w:cs="Arial"/>
          <w:b/>
        </w:rPr>
        <w:t>qu</w:t>
      </w:r>
      <w:r w:rsidR="00A25012">
        <w:rPr>
          <w:rFonts w:ascii="Arial" w:hAnsi="Arial" w:cs="Arial"/>
          <w:b/>
        </w:rPr>
        <w:t>inze</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DB4852">
        <w:rPr>
          <w:rFonts w:ascii="Arial" w:hAnsi="Arial" w:cs="Arial"/>
        </w:rPr>
        <w:t>35/2021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DB4852">
        <w:rPr>
          <w:rFonts w:ascii="Arial" w:hAnsi="Arial" w:cs="Arial"/>
        </w:rPr>
        <w:t>35/2021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DB4852">
        <w:rPr>
          <w:rFonts w:ascii="Arial" w:hAnsi="Arial" w:cs="Arial"/>
        </w:rPr>
        <w:t>35/2021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lastRenderedPageBreak/>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CEE" w:rsidRDefault="005A7CEE" w:rsidP="00BD5FF5">
      <w:r>
        <w:separator/>
      </w:r>
    </w:p>
  </w:endnote>
  <w:endnote w:type="continuationSeparator" w:id="1">
    <w:p w:rsidR="005A7CEE" w:rsidRDefault="005A7CEE"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52" w:rsidRDefault="005345A1">
    <w:pPr>
      <w:pStyle w:val="Rodap"/>
      <w:framePr w:wrap="around" w:vAnchor="text" w:hAnchor="margin" w:xAlign="right" w:y="1"/>
      <w:rPr>
        <w:rStyle w:val="Nmerodepgina"/>
      </w:rPr>
    </w:pPr>
    <w:r>
      <w:rPr>
        <w:rStyle w:val="Nmerodepgina"/>
      </w:rPr>
      <w:fldChar w:fldCharType="begin"/>
    </w:r>
    <w:r w:rsidR="00DB4852">
      <w:rPr>
        <w:rStyle w:val="Nmerodepgina"/>
      </w:rPr>
      <w:instrText xml:space="preserve">PAGE  </w:instrText>
    </w:r>
    <w:r>
      <w:rPr>
        <w:rStyle w:val="Nmerodepgina"/>
      </w:rPr>
      <w:fldChar w:fldCharType="separate"/>
    </w:r>
    <w:r w:rsidR="00DB4852">
      <w:rPr>
        <w:rStyle w:val="Nmerodepgina"/>
        <w:noProof/>
      </w:rPr>
      <w:t>1</w:t>
    </w:r>
    <w:r>
      <w:rPr>
        <w:rStyle w:val="Nmerodepgina"/>
      </w:rPr>
      <w:fldChar w:fldCharType="end"/>
    </w:r>
  </w:p>
  <w:p w:rsidR="00DB4852" w:rsidRDefault="00DB485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52" w:rsidRPr="00FF4D5A" w:rsidRDefault="005345A1"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B4852"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DF60FC">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B4852" w:rsidRPr="00AE4DE7" w:rsidRDefault="00DB4852"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B4852" w:rsidRDefault="00DB4852" w:rsidP="00461410">
    <w:pPr>
      <w:pStyle w:val="Rodap"/>
      <w:pBdr>
        <w:top w:val="single" w:sz="18" w:space="1" w:color="3366CC"/>
      </w:pBdr>
      <w:ind w:right="360"/>
      <w:jc w:val="center"/>
      <w:rPr>
        <w:rFonts w:ascii="Arial" w:hAnsi="Arial" w:cs="Arial"/>
        <w:b/>
        <w:color w:val="003366"/>
        <w:sz w:val="16"/>
        <w:szCs w:val="16"/>
      </w:rPr>
    </w:pPr>
  </w:p>
  <w:p w:rsidR="00DB4852" w:rsidRDefault="00DB4852">
    <w:pPr>
      <w:pStyle w:val="Rodap"/>
      <w:ind w:right="360"/>
    </w:pPr>
  </w:p>
  <w:p w:rsidR="00DB4852" w:rsidRDefault="00DB485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CEE" w:rsidRDefault="005A7CEE" w:rsidP="00BD5FF5">
      <w:r>
        <w:separator/>
      </w:r>
    </w:p>
  </w:footnote>
  <w:footnote w:type="continuationSeparator" w:id="1">
    <w:p w:rsidR="005A7CEE" w:rsidRDefault="005A7CEE" w:rsidP="00BD5FF5">
      <w:r>
        <w:continuationSeparator/>
      </w:r>
    </w:p>
  </w:footnote>
  <w:footnote w:id="2">
    <w:p w:rsidR="00DB4852" w:rsidRPr="00572E5F" w:rsidRDefault="00DB4852"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52" w:rsidRDefault="00DB4852"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B4852" w:rsidRDefault="00DB4852" w:rsidP="00461410">
    <w:pPr>
      <w:pStyle w:val="Cabealho"/>
      <w:ind w:left="1276"/>
      <w:jc w:val="center"/>
      <w:rPr>
        <w:rFonts w:ascii="Arial" w:hAnsi="Arial"/>
        <w:b/>
        <w:sz w:val="16"/>
        <w:szCs w:val="32"/>
        <w:u w:val="single"/>
      </w:rPr>
    </w:pPr>
  </w:p>
  <w:p w:rsidR="00DB4852" w:rsidRDefault="00DB4852"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B4852" w:rsidRDefault="00DB4852" w:rsidP="00461410">
    <w:pPr>
      <w:pStyle w:val="Cabealho"/>
      <w:ind w:left="1276"/>
      <w:jc w:val="center"/>
      <w:rPr>
        <w:rFonts w:ascii="Arial" w:hAnsi="Arial"/>
        <w:b/>
        <w:sz w:val="2"/>
        <w:szCs w:val="8"/>
      </w:rPr>
    </w:pPr>
  </w:p>
  <w:p w:rsidR="00DB4852" w:rsidRDefault="00DB4852"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B4852" w:rsidRPr="00B53694" w:rsidRDefault="00DB4852"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2"/>
  </w:num>
  <w:num w:numId="3">
    <w:abstractNumId w:val="23"/>
  </w:num>
  <w:num w:numId="4">
    <w:abstractNumId w:val="17"/>
  </w:num>
  <w:num w:numId="5">
    <w:abstractNumId w:val="13"/>
  </w:num>
  <w:num w:numId="6">
    <w:abstractNumId w:val="20"/>
  </w:num>
  <w:num w:numId="7">
    <w:abstractNumId w:val="12"/>
  </w:num>
  <w:num w:numId="8">
    <w:abstractNumId w:val="30"/>
  </w:num>
  <w:num w:numId="9">
    <w:abstractNumId w:val="29"/>
  </w:num>
  <w:num w:numId="10">
    <w:abstractNumId w:val="27"/>
  </w:num>
  <w:num w:numId="11">
    <w:abstractNumId w:val="10"/>
  </w:num>
  <w:num w:numId="12">
    <w:abstractNumId w:val="28"/>
  </w:num>
  <w:num w:numId="13">
    <w:abstractNumId w:val="21"/>
  </w:num>
  <w:num w:numId="14">
    <w:abstractNumId w:val="2"/>
  </w:num>
  <w:num w:numId="15">
    <w:abstractNumId w:val="18"/>
  </w:num>
  <w:num w:numId="16">
    <w:abstractNumId w:val="19"/>
  </w:num>
  <w:num w:numId="17">
    <w:abstractNumId w:val="1"/>
  </w:num>
  <w:num w:numId="18">
    <w:abstractNumId w:val="16"/>
  </w:num>
  <w:num w:numId="19">
    <w:abstractNumId w:val="7"/>
  </w:num>
  <w:num w:numId="20">
    <w:abstractNumId w:val="3"/>
  </w:num>
  <w:num w:numId="21">
    <w:abstractNumId w:val="0"/>
  </w:num>
  <w:num w:numId="22">
    <w:abstractNumId w:val="6"/>
  </w:num>
  <w:num w:numId="23">
    <w:abstractNumId w:val="15"/>
  </w:num>
  <w:num w:numId="24">
    <w:abstractNumId w:val="4"/>
  </w:num>
  <w:num w:numId="25">
    <w:abstractNumId w:val="24"/>
  </w:num>
  <w:num w:numId="26">
    <w:abstractNumId w:val="14"/>
  </w:num>
  <w:num w:numId="27">
    <w:abstractNumId w:val="11"/>
  </w:num>
  <w:num w:numId="28">
    <w:abstractNumId w:val="5"/>
  </w:num>
  <w:num w:numId="29">
    <w:abstractNumId w:val="8"/>
  </w:num>
  <w:num w:numId="30">
    <w:abstractNumId w:val="26"/>
  </w:num>
  <w:num w:numId="31">
    <w:abstractNumId w:val="2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885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16E70"/>
    <w:rsid w:val="00121F8A"/>
    <w:rsid w:val="00125B29"/>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C026B"/>
    <w:rsid w:val="003C02CD"/>
    <w:rsid w:val="003C7A5B"/>
    <w:rsid w:val="003D5670"/>
    <w:rsid w:val="003D6849"/>
    <w:rsid w:val="003D6FAC"/>
    <w:rsid w:val="003D7477"/>
    <w:rsid w:val="003E5804"/>
    <w:rsid w:val="0040032D"/>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5B70"/>
    <w:rsid w:val="00533AE9"/>
    <w:rsid w:val="005345A1"/>
    <w:rsid w:val="00553ACA"/>
    <w:rsid w:val="005557FB"/>
    <w:rsid w:val="005615AD"/>
    <w:rsid w:val="00565469"/>
    <w:rsid w:val="0059078A"/>
    <w:rsid w:val="00591E18"/>
    <w:rsid w:val="0059663D"/>
    <w:rsid w:val="0059708D"/>
    <w:rsid w:val="005A352B"/>
    <w:rsid w:val="005A53B7"/>
    <w:rsid w:val="005A7CEE"/>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416"/>
    <w:rsid w:val="0079355A"/>
    <w:rsid w:val="00797266"/>
    <w:rsid w:val="007A296C"/>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541D4"/>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F7646"/>
    <w:rsid w:val="009F7E26"/>
    <w:rsid w:val="00A15068"/>
    <w:rsid w:val="00A25012"/>
    <w:rsid w:val="00A41431"/>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A"/>
    <w:rsid w:val="00DB3A60"/>
    <w:rsid w:val="00DB4852"/>
    <w:rsid w:val="00DB665A"/>
    <w:rsid w:val="00DB6965"/>
    <w:rsid w:val="00DC671A"/>
    <w:rsid w:val="00DD7F78"/>
    <w:rsid w:val="00DE5C03"/>
    <w:rsid w:val="00DE7BFC"/>
    <w:rsid w:val="00DF0F86"/>
    <w:rsid w:val="00DF60FC"/>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26F2"/>
    <w:rsid w:val="00FD2A5D"/>
    <w:rsid w:val="00FD571A"/>
    <w:rsid w:val="00FE2100"/>
    <w:rsid w:val="00FE7D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10150</Words>
  <Characters>54816</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64837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2021-04-12T18:59:00Z</cp:lastPrinted>
  <dcterms:created xsi:type="dcterms:W3CDTF">2021-09-22T17:08:00Z</dcterms:created>
  <dcterms:modified xsi:type="dcterms:W3CDTF">2021-11-08T18:09:00Z</dcterms:modified>
</cp:coreProperties>
</file>